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13"/>
      </w:tblGrid>
      <w:tr w:rsidR="004E71F7" w:rsidRPr="004E71F7" w:rsidTr="004E71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Pr="004E71F7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Pr="004E71F7" w:rsidRDefault="008A62DC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4E71F7" w:rsidRPr="004E71F7" w:rsidTr="004E71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DD" w:rsidRPr="004E71F7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4E71F7" w:rsidRDefault="00714822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Cs/>
                <w:sz w:val="20"/>
                <w:szCs w:val="20"/>
              </w:rPr>
              <w:t xml:space="preserve">В позиции № 5 требуется к поставке Источник бесперебойного питания. Техническим требованиям соответствует только ИБП 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APC SMART-UPS RT, 2000VA/1400W, INPUT 230V/OUTPUT 230V, INTERFACE PORT DB-9 RS-2(SURT2000RMXLI), но он снят с производства, и не доступен к заказу. Прямая замена от производителя: Источник бесперебойного питания APC </w:t>
            </w:r>
            <w:proofErr w:type="spellStart"/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-UPS SRT SRT2200RMXLI 1980Вт 2200ВА черный, но данная модель отличается по некоторым параметрам от требуемых. Готовы ли рассмотреть данную модель к поставке?</w:t>
            </w:r>
          </w:p>
        </w:tc>
      </w:tr>
      <w:tr w:rsidR="004E71F7" w:rsidRPr="004E71F7" w:rsidTr="004E71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4E71F7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4E71F7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Ответ</w:t>
            </w:r>
          </w:p>
        </w:tc>
      </w:tr>
      <w:tr w:rsidR="004E71F7" w:rsidRPr="004E71F7" w:rsidTr="004E71F7">
        <w:trPr>
          <w:trHeight w:val="13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4E71F7" w:rsidRDefault="001679DD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D" w:rsidRPr="004E71F7" w:rsidRDefault="004E71F7" w:rsidP="007148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cs="Times New Roman"/>
                <w:sz w:val="20"/>
                <w:szCs w:val="20"/>
                <w:lang w:eastAsia="en-US"/>
              </w:rPr>
              <w:t xml:space="preserve">замена согласовывается на 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APC </w:t>
            </w:r>
            <w:proofErr w:type="spellStart"/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-UPS SRT SRT2200RMXLI 1980Вт 2200ВА</w:t>
            </w:r>
            <w:r w:rsidRPr="004E71F7">
              <w:rPr>
                <w:rFonts w:cs="Times New Roman"/>
                <w:sz w:val="20"/>
                <w:szCs w:val="20"/>
                <w:lang w:eastAsia="en-US"/>
              </w:rPr>
              <w:t>. В проектной документации предусмотрены телекоммуникационный шкаф глубиной 1м и соответствующего номинала автоматические выключатели.</w:t>
            </w:r>
          </w:p>
        </w:tc>
      </w:tr>
      <w:tr w:rsidR="004E71F7" w:rsidRPr="004E71F7" w:rsidTr="004E71F7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4E71F7" w:rsidRPr="004E71F7" w:rsidTr="004E71F7">
        <w:trPr>
          <w:trHeight w:val="19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7148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Описанный сервер на базе процессоров 5118 снят с производства (по причине появления новой серии процессоров 5218). На замену поставщиком предлагается сервер той же линейки </w:t>
            </w:r>
            <w:r w:rsidRPr="004E71F7">
              <w:rPr>
                <w:rFonts w:eastAsia="Times New Roman" w:cs="Times New Roman"/>
                <w:sz w:val="20"/>
                <w:szCs w:val="20"/>
                <w:lang w:val="en-US" w:eastAsia="ru-RU"/>
              </w:rPr>
              <w:t>DL</w:t>
            </w: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380 </w:t>
            </w:r>
            <w:r w:rsidRPr="004E71F7">
              <w:rPr>
                <w:rFonts w:eastAsia="Times New Roman" w:cs="Times New Roman"/>
                <w:sz w:val="20"/>
                <w:szCs w:val="20"/>
                <w:lang w:val="en-US" w:eastAsia="ru-RU"/>
              </w:rPr>
              <w:t>G</w:t>
            </w: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10, на базе процессоров 5218, которые превосходят предыдущие по всем показателям. Для новой линейки нет комплектного решения под одним </w:t>
            </w:r>
            <w:proofErr w:type="spellStart"/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партномером</w:t>
            </w:r>
            <w:proofErr w:type="spellEnd"/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, требуется конфигурирование из компонентов.</w:t>
            </w:r>
          </w:p>
        </w:tc>
      </w:tr>
      <w:tr w:rsidR="004E71F7" w:rsidRPr="004E71F7" w:rsidTr="004E71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Ответ</w:t>
            </w:r>
          </w:p>
        </w:tc>
      </w:tr>
      <w:tr w:rsidR="004E71F7" w:rsidRPr="004E71F7" w:rsidTr="004E71F7">
        <w:trPr>
          <w:trHeight w:val="19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8A62DC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7148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Theme="minorEastAsia" w:cs="Times New Roman"/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233680</wp:posOffset>
                  </wp:positionV>
                  <wp:extent cx="3952875" cy="1527175"/>
                  <wp:effectExtent l="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" t="16634" r="36052" b="39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52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К поставке допускается конфигурация:</w:t>
            </w:r>
          </w:p>
          <w:p w:rsidR="004E71F7" w:rsidRPr="004E71F7" w:rsidRDefault="004E71F7" w:rsidP="007148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E71F7" w:rsidRPr="004E71F7" w:rsidRDefault="004E71F7" w:rsidP="007148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E71F7" w:rsidRPr="004E71F7" w:rsidTr="004E71F7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участников</w:t>
            </w:r>
          </w:p>
        </w:tc>
      </w:tr>
      <w:tr w:rsidR="004E71F7" w:rsidRPr="004E71F7" w:rsidTr="004E71F7">
        <w:trPr>
          <w:trHeight w:val="19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607041" w:rsidP="004E71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 приложении </w:t>
            </w:r>
            <w:r w:rsidR="004E71F7" w:rsidRPr="004E71F7">
              <w:rPr>
                <w:rFonts w:eastAsia="Times New Roman" w:cs="Times New Roman"/>
                <w:sz w:val="20"/>
                <w:szCs w:val="20"/>
              </w:rPr>
              <w:t>п.4 закупается для сервера п.1</w:t>
            </w:r>
            <w:r>
              <w:rPr>
                <w:rFonts w:eastAsia="Times New Roman" w:cs="Times New Roman"/>
                <w:sz w:val="20"/>
                <w:szCs w:val="20"/>
              </w:rPr>
              <w:t>?</w:t>
            </w:r>
            <w:bookmarkStart w:id="0" w:name="_GoBack"/>
            <w:bookmarkEnd w:id="0"/>
          </w:p>
        </w:tc>
      </w:tr>
      <w:tr w:rsidR="004E71F7" w:rsidRPr="004E71F7" w:rsidTr="004E71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71F7">
              <w:rPr>
                <w:rFonts w:eastAsia="Times New Roman" w:cs="Times New Roman"/>
                <w:sz w:val="20"/>
                <w:szCs w:val="20"/>
                <w:lang w:eastAsia="ru-RU"/>
              </w:rPr>
              <w:t>Ответ</w:t>
            </w:r>
          </w:p>
        </w:tc>
      </w:tr>
      <w:tr w:rsidR="004E71F7" w:rsidRPr="004E71F7" w:rsidTr="004E71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7" w:rsidRPr="004E71F7" w:rsidRDefault="004E71F7" w:rsidP="004E71F7">
            <w:pPr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Да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будет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</w:rPr>
              <w:t>рассмотрена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4E71F7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HPE 5 Year Foundation Care Next Business Day DL380 Gen10 Service [H8QU4E]</w:t>
            </w:r>
          </w:p>
        </w:tc>
      </w:tr>
    </w:tbl>
    <w:p w:rsidR="001C29C8" w:rsidRPr="004E71F7" w:rsidRDefault="008A62DC">
      <w:pPr>
        <w:rPr>
          <w:rFonts w:cs="Times New Roman"/>
          <w:sz w:val="20"/>
          <w:szCs w:val="20"/>
        </w:rPr>
      </w:pPr>
      <w:r w:rsidRPr="004E71F7">
        <w:rPr>
          <w:rFonts w:cs="Times New Roman"/>
          <w:sz w:val="20"/>
          <w:szCs w:val="20"/>
        </w:rPr>
        <w:t>Приложение №1</w:t>
      </w:r>
    </w:p>
    <w:p w:rsidR="008A62DC" w:rsidRPr="004E71F7" w:rsidRDefault="008A62DC" w:rsidP="004E71F7">
      <w:pPr>
        <w:rPr>
          <w:rFonts w:cs="Times New Roman"/>
          <w:sz w:val="20"/>
          <w:szCs w:val="20"/>
        </w:rPr>
      </w:pPr>
    </w:p>
    <w:sectPr w:rsidR="008A62DC" w:rsidRPr="004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39"/>
    <w:rsid w:val="001679DD"/>
    <w:rsid w:val="001C29C8"/>
    <w:rsid w:val="004E71F7"/>
    <w:rsid w:val="005715DE"/>
    <w:rsid w:val="00607041"/>
    <w:rsid w:val="00714822"/>
    <w:rsid w:val="007F1239"/>
    <w:rsid w:val="008A62DC"/>
    <w:rsid w:val="00A41DE1"/>
    <w:rsid w:val="00C44BF1"/>
    <w:rsid w:val="00D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99482D"/>
  <w15:chartTrackingRefBased/>
  <w15:docId w15:val="{97704AF2-89DF-44BC-95F7-CED5A3EE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0873E-167A-4E1F-93DB-2AA5B46EBDD6}"/>
</file>

<file path=customXml/itemProps2.xml><?xml version="1.0" encoding="utf-8"?>
<ds:datastoreItem xmlns:ds="http://schemas.openxmlformats.org/officeDocument/2006/customXml" ds:itemID="{95C3CA3A-31BC-40A9-814A-2267450DE6E4}"/>
</file>

<file path=customXml/itemProps3.xml><?xml version="1.0" encoding="utf-8"?>
<ds:datastoreItem xmlns:ds="http://schemas.openxmlformats.org/officeDocument/2006/customXml" ds:itemID="{92F6DFF9-12C9-44E5-9803-3F06F835C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7</cp:revision>
  <dcterms:created xsi:type="dcterms:W3CDTF">2019-05-31T09:44:00Z</dcterms:created>
  <dcterms:modified xsi:type="dcterms:W3CDTF">2020-05-20T16:36:00Z</dcterms:modified>
</cp:coreProperties>
</file>