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9A58B" w14:textId="77777777"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14:paraId="0F89A58C" w14:textId="77777777" w:rsidR="009B42D3" w:rsidRPr="009B42D3" w:rsidRDefault="003470AA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Департамента Проектов и Проектирования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14:paraId="0F89A58D" w14:textId="77777777"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14:paraId="0F89A58E" w14:textId="77777777"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предквалификационных документов </w:t>
      </w:r>
    </w:p>
    <w:p w14:paraId="0F89A58F" w14:textId="77777777"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89A590" w14:textId="77777777"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14:paraId="0F89A591" w14:textId="77777777"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0F89A592" w14:textId="77777777"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14:paraId="0F89A593" w14:textId="77777777"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F3522D" w:rsidRPr="00F3522D">
        <w:rPr>
          <w:rFonts w:ascii="Arial" w:hAnsi="Arial" w:cs="Arial"/>
          <w:color w:val="FF0000"/>
          <w:sz w:val="28"/>
          <w:szCs w:val="28"/>
          <w:u w:val="single"/>
        </w:rPr>
        <w:t>Alexander.Barashkin@cpcpipe.ru</w:t>
      </w:r>
      <w:r w:rsidR="005D38D3" w:rsidRPr="00F3522D">
        <w:rPr>
          <w:rFonts w:ascii="Arial" w:hAnsi="Arial" w:cs="Arial"/>
          <w:color w:val="FF0000"/>
          <w:sz w:val="28"/>
          <w:szCs w:val="28"/>
        </w:rPr>
        <w:t>.</w:t>
      </w:r>
      <w:r w:rsidR="00C90A47" w:rsidRPr="00F3522D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0F89A594" w14:textId="77777777"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14:paraId="0F89A595" w14:textId="7C6D576E" w:rsidR="00BD5B9D" w:rsidRPr="009F613C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5C61E5" w:rsidRPr="009B2517">
        <w:rPr>
          <w:rFonts w:ascii="Arial" w:hAnsi="Arial" w:cs="Arial"/>
          <w:sz w:val="28"/>
          <w:szCs w:val="28"/>
        </w:rPr>
        <w:t xml:space="preserve"> на </w:t>
      </w:r>
      <w:r w:rsidR="004B273C">
        <w:rPr>
          <w:rFonts w:ascii="Arial" w:hAnsi="Arial" w:cs="Arial"/>
          <w:sz w:val="28"/>
          <w:szCs w:val="28"/>
        </w:rPr>
        <w:t>компакт-диск</w:t>
      </w:r>
      <w:r w:rsidR="0034383E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(2 </w:t>
      </w:r>
      <w:r w:rsidR="0034383E">
        <w:rPr>
          <w:rFonts w:ascii="Arial" w:hAnsi="Arial" w:cs="Arial"/>
          <w:sz w:val="28"/>
          <w:szCs w:val="28"/>
        </w:rPr>
        <w:t xml:space="preserve">идентичных </w:t>
      </w:r>
      <w:r>
        <w:rPr>
          <w:rFonts w:ascii="Arial" w:hAnsi="Arial" w:cs="Arial"/>
          <w:sz w:val="28"/>
          <w:szCs w:val="28"/>
        </w:rPr>
        <w:t>экз.)</w:t>
      </w:r>
      <w:r w:rsidR="004B273C">
        <w:rPr>
          <w:rFonts w:ascii="Arial" w:hAnsi="Arial" w:cs="Arial"/>
          <w:sz w:val="28"/>
          <w:szCs w:val="28"/>
        </w:rPr>
        <w:t xml:space="preserve"> или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9F613C" w:rsidRPr="009F613C">
        <w:rPr>
          <w:rFonts w:ascii="Arial" w:hAnsi="Arial" w:cs="Arial"/>
          <w:sz w:val="28"/>
          <w:szCs w:val="28"/>
          <w:u w:val="single"/>
        </w:rPr>
        <w:t>109147, г. Москва, ул. Воронцовская, дом 17, Бизнес-центр «Мосэнка-</w:t>
      </w:r>
      <w:bookmarkStart w:id="1" w:name="_GoBack"/>
      <w:r w:rsidR="009F613C" w:rsidRPr="009F613C">
        <w:rPr>
          <w:rFonts w:ascii="Arial" w:hAnsi="Arial" w:cs="Arial"/>
          <w:sz w:val="28"/>
          <w:szCs w:val="28"/>
          <w:u w:val="single"/>
        </w:rPr>
        <w:t>6»</w:t>
      </w:r>
      <w:r w:rsidR="009377AD" w:rsidRPr="009F613C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9F613C">
        <w:rPr>
          <w:rFonts w:ascii="Arial" w:hAnsi="Arial" w:cs="Arial"/>
          <w:sz w:val="28"/>
          <w:szCs w:val="28"/>
          <w:u w:val="single"/>
        </w:rPr>
        <w:t>Д</w:t>
      </w:r>
      <w:r w:rsidR="009377AD" w:rsidRPr="009F613C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F613C">
        <w:rPr>
          <w:rFonts w:ascii="Arial" w:hAnsi="Arial" w:cs="Arial"/>
          <w:sz w:val="28"/>
          <w:szCs w:val="28"/>
          <w:u w:val="single"/>
        </w:rPr>
        <w:t xml:space="preserve"> </w:t>
      </w:r>
      <w:r w:rsidR="008B1372" w:rsidRPr="009F613C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F613C">
        <w:rPr>
          <w:rFonts w:ascii="Arial" w:hAnsi="Arial" w:cs="Arial"/>
          <w:sz w:val="28"/>
          <w:szCs w:val="28"/>
          <w:u w:val="single"/>
        </w:rPr>
        <w:t xml:space="preserve">, </w:t>
      </w:r>
      <w:r w:rsidR="00F3522D" w:rsidRPr="009F613C">
        <w:rPr>
          <w:rFonts w:ascii="Arial" w:hAnsi="Arial" w:cs="Arial"/>
          <w:sz w:val="28"/>
          <w:szCs w:val="28"/>
          <w:u w:val="single"/>
        </w:rPr>
        <w:t>Барашкину А.В.</w:t>
      </w:r>
    </w:p>
    <w:bookmarkEnd w:id="1"/>
    <w:p w14:paraId="0F89A596" w14:textId="05892330"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Вся корреспонденция принимается </w:t>
      </w:r>
      <w:proofErr w:type="spellStart"/>
      <w:r w:rsidRPr="009B2517">
        <w:rPr>
          <w:rFonts w:ascii="Arial" w:hAnsi="Arial" w:cs="Arial"/>
          <w:sz w:val="28"/>
          <w:szCs w:val="28"/>
        </w:rPr>
        <w:t>рецепшеном</w:t>
      </w:r>
      <w:proofErr w:type="spellEnd"/>
      <w:r w:rsidRPr="009B2517">
        <w:rPr>
          <w:rFonts w:ascii="Arial" w:hAnsi="Arial" w:cs="Arial"/>
          <w:sz w:val="28"/>
          <w:szCs w:val="28"/>
        </w:rPr>
        <w:t xml:space="preserve"> АО «КТК-Р» (</w:t>
      </w:r>
      <w:r w:rsidR="009F613C" w:rsidRPr="009F613C">
        <w:rPr>
          <w:rFonts w:ascii="Arial" w:hAnsi="Arial" w:cs="Arial"/>
          <w:sz w:val="28"/>
          <w:szCs w:val="28"/>
        </w:rPr>
        <w:t>109147, г. Москва, ул. Воронцовская, дом 17, Бизнес-центр «Мосэнка-6»</w:t>
      </w:r>
      <w:r w:rsidRPr="009B251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14:paraId="0F89A597" w14:textId="77777777"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14:paraId="0F89A598" w14:textId="77777777"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14:paraId="0F89A599" w14:textId="77777777"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0F89A59A" w14:textId="77777777"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14:paraId="0F89A59B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 w:rsidRPr="003C73DA">
        <w:rPr>
          <w:rFonts w:ascii="Arial" w:hAnsi="Arial" w:cs="Arial"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flash</w:t>
      </w:r>
      <w:r>
        <w:rPr>
          <w:rFonts w:ascii="Arial" w:hAnsi="Arial" w:cs="Arial"/>
          <w:sz w:val="28"/>
          <w:szCs w:val="28"/>
        </w:rPr>
        <w:t>-носителях)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14:paraId="0F89A59C" w14:textId="77777777"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14:paraId="0F89A59D" w14:textId="77777777"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14:paraId="0F89A59E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14:paraId="0F89A59F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F89A5A0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14:paraId="0F89A5A1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F89A5A2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14:paraId="0F89A5A3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14:paraId="0F89A5A4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14:paraId="0F89A5A5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14:paraId="0F89A5A6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14:paraId="0F89A5A7" w14:textId="77777777"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14:paraId="0F89A5A8" w14:textId="77777777"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14:paraId="0F89A5A9" w14:textId="77777777"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14:paraId="0F89A5AA" w14:textId="77777777"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14:paraId="0F89A5AB" w14:textId="77777777"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0F89A5AC" w14:textId="77777777"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14:paraId="0F89A5AD" w14:textId="77777777"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F89A5AE" w14:textId="77777777"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lastRenderedPageBreak/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14:paraId="0F89A5AF" w14:textId="77777777"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89A5B0" w14:textId="77777777"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14:paraId="0F89A5B1" w14:textId="77777777"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14:paraId="0F89A5B2" w14:textId="77777777"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14:paraId="0F89A5B3" w14:textId="77777777"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14:paraId="0F89A5B4" w14:textId="77777777"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14:paraId="0F89A5B5" w14:textId="77777777"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14:paraId="0F89A5B6" w14:textId="77777777"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14:paraId="0F89A5B7" w14:textId="77777777"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14:paraId="0F89A5B8" w14:textId="77777777"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14:paraId="0F89A5B9" w14:textId="77777777"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14:paraId="0F89A5BA" w14:textId="77777777"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</w:t>
      </w:r>
      <w:proofErr w:type="gramStart"/>
      <w:r>
        <w:rPr>
          <w:rFonts w:ascii="Arial" w:hAnsi="Arial" w:cs="Arial"/>
          <w:sz w:val="28"/>
          <w:szCs w:val="28"/>
        </w:rPr>
        <w:t>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</w:t>
      </w:r>
      <w:proofErr w:type="gramEnd"/>
      <w:r>
        <w:rPr>
          <w:rFonts w:ascii="Arial" w:hAnsi="Arial" w:cs="Arial"/>
          <w:sz w:val="28"/>
          <w:szCs w:val="28"/>
        </w:rPr>
        <w:t xml:space="preserve">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14:paraId="0F89A5BB" w14:textId="77777777"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14:paraId="0F89A5BC" w14:textId="77777777"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 xml:space="preserve"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</w:t>
      </w:r>
      <w:r w:rsidR="000B5041" w:rsidRPr="00B37A5B">
        <w:rPr>
          <w:rFonts w:ascii="Arial" w:hAnsi="Arial" w:cs="Arial"/>
          <w:sz w:val="28"/>
          <w:szCs w:val="28"/>
        </w:rPr>
        <w:lastRenderedPageBreak/>
        <w:t>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14:paraId="0F89A5BD" w14:textId="77777777"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14:paraId="0F89A5BE" w14:textId="77777777"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14:paraId="0F89A5BF" w14:textId="77777777"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14:paraId="0F89A5C0" w14:textId="77777777"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14:paraId="0F89A5C1" w14:textId="77777777"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14:paraId="0F89A5C2" w14:textId="77777777"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14:paraId="0F89A5C3" w14:textId="77777777"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14:paraId="0F89A5C4" w14:textId="77777777"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14:paraId="0F89A5C5" w14:textId="77777777"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14:paraId="0F89A5C6" w14:textId="77777777"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0F89A5C7" w14:textId="77777777"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14:paraId="0F89A5C8" w14:textId="77777777"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14:paraId="0F89A5C9" w14:textId="77777777"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14:paraId="0F89A5CA" w14:textId="77777777"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14:paraId="0F89A5CB" w14:textId="77777777"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14:paraId="0F89A5CC" w14:textId="77777777"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CD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CE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CF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0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1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2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3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4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5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6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7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8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9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A" w14:textId="77777777"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14:paraId="0F89A5DB" w14:textId="77777777"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C" w14:textId="77777777"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14:paraId="0F89A5DD" w14:textId="77777777"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14:paraId="0F89A5E7" w14:textId="77777777" w:rsidTr="0075039F">
        <w:trPr>
          <w:cantSplit/>
          <w:trHeight w:val="1416"/>
        </w:trPr>
        <w:tc>
          <w:tcPr>
            <w:tcW w:w="6379" w:type="dxa"/>
          </w:tcPr>
          <w:p w14:paraId="0F89A5DE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F89A5DF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14:paraId="0F89A5E0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14:paraId="0F89A5E1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89A5E2" w14:textId="77777777"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14:paraId="0F89A5E3" w14:textId="77777777"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14:paraId="0F89A5E4" w14:textId="77777777"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0DD9363" w14:textId="77777777" w:rsidR="00B5738C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</w:t>
            </w:r>
            <w:r w:rsidR="00B5738C">
              <w:rPr>
                <w:rFonts w:ascii="Arial" w:hAnsi="Arial" w:cs="Arial"/>
                <w:sz w:val="28"/>
                <w:szCs w:val="28"/>
              </w:rPr>
              <w:t>Техническому директору</w:t>
            </w:r>
          </w:p>
          <w:p w14:paraId="0F89A5E5" w14:textId="0E6C5E95" w:rsidR="0075039F" w:rsidRPr="00A43B3A" w:rsidRDefault="00B5738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И.Ю. Лисину</w:t>
            </w:r>
          </w:p>
          <w:p w14:paraId="0F89A5E6" w14:textId="77777777"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14:paraId="0F89A5EA" w14:textId="77777777" w:rsidTr="0075039F">
        <w:trPr>
          <w:cantSplit/>
          <w:trHeight w:val="714"/>
        </w:trPr>
        <w:tc>
          <w:tcPr>
            <w:tcW w:w="6379" w:type="dxa"/>
          </w:tcPr>
          <w:p w14:paraId="0F89A5E8" w14:textId="77777777"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предквалификационных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14:paraId="0F89A5E9" w14:textId="77777777"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F89A5EB" w14:textId="77777777"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14:paraId="0F89A5EC" w14:textId="77777777"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14:paraId="0F89A5ED" w14:textId="77777777"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14:paraId="0F89A5EE" w14:textId="77777777"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14:paraId="0F89A5EF" w14:textId="77777777"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F89A5F0" w14:textId="77777777"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14:paraId="0F89A5F1" w14:textId="77777777"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14:paraId="0F89A5F2" w14:textId="77777777"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14:paraId="0F89A5F3" w14:textId="77777777" w:rsidR="0075039F" w:rsidRPr="00A43B3A" w:rsidRDefault="00E36BE9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A43B3A" w:rsidRPr="00A43B3A">
        <w:rPr>
          <w:rFonts w:ascii="Arial" w:hAnsi="Arial" w:cs="Arial"/>
          <w:sz w:val="28"/>
          <w:szCs w:val="28"/>
        </w:rPr>
        <w:t>Компакт-диски (</w:t>
      </w:r>
      <w:r w:rsidR="00A43B3A" w:rsidRPr="00A43B3A">
        <w:rPr>
          <w:rFonts w:ascii="Arial" w:hAnsi="Arial" w:cs="Arial"/>
          <w:sz w:val="28"/>
          <w:szCs w:val="28"/>
          <w:lang w:val="en-US"/>
        </w:rPr>
        <w:t>flash</w:t>
      </w:r>
      <w:r w:rsidR="00A43B3A" w:rsidRPr="00A43B3A">
        <w:rPr>
          <w:rFonts w:ascii="Arial" w:hAnsi="Arial" w:cs="Arial"/>
          <w:sz w:val="28"/>
          <w:szCs w:val="28"/>
        </w:rPr>
        <w:t>-накопители), 2 экз.</w:t>
      </w:r>
    </w:p>
    <w:p w14:paraId="0F89A5F4" w14:textId="77777777"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14:paraId="0F89A5F5" w14:textId="77777777"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14:paraId="0F89A5F6" w14:textId="77777777"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14:paraId="0F89A5F7" w14:textId="77777777"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89A5F8" w14:textId="77777777"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89A5F9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14:paraId="0F89A5FA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14:paraId="0F89A5FB" w14:textId="77777777"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14:paraId="0F89A5FC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10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9A5FF" w14:textId="77777777" w:rsidR="00425B49" w:rsidRDefault="00425B49" w:rsidP="005D382D">
      <w:pPr>
        <w:spacing w:after="0" w:line="240" w:lineRule="auto"/>
      </w:pPr>
      <w:r>
        <w:separator/>
      </w:r>
    </w:p>
  </w:endnote>
  <w:endnote w:type="continuationSeparator" w:id="0">
    <w:p w14:paraId="0F89A600" w14:textId="77777777" w:rsidR="00425B49" w:rsidRDefault="00425B49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14:paraId="0F89A601" w14:textId="1838613B"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13C">
          <w:rPr>
            <w:noProof/>
          </w:rPr>
          <w:t>5</w:t>
        </w:r>
        <w:r>
          <w:fldChar w:fldCharType="end"/>
        </w:r>
      </w:p>
    </w:sdtContent>
  </w:sdt>
  <w:p w14:paraId="0F89A602" w14:textId="77777777"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A5FD" w14:textId="77777777" w:rsidR="00425B49" w:rsidRDefault="00425B49" w:rsidP="005D382D">
      <w:pPr>
        <w:spacing w:after="0" w:line="240" w:lineRule="auto"/>
      </w:pPr>
      <w:r>
        <w:separator/>
      </w:r>
    </w:p>
  </w:footnote>
  <w:footnote w:type="continuationSeparator" w:id="0">
    <w:p w14:paraId="0F89A5FE" w14:textId="77777777" w:rsidR="00425B49" w:rsidRDefault="00425B49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B5041"/>
    <w:rsid w:val="000C06CA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470AA"/>
    <w:rsid w:val="00353E76"/>
    <w:rsid w:val="00387B89"/>
    <w:rsid w:val="0039000B"/>
    <w:rsid w:val="003A3043"/>
    <w:rsid w:val="003C73DA"/>
    <w:rsid w:val="00425B49"/>
    <w:rsid w:val="0042679C"/>
    <w:rsid w:val="0043535B"/>
    <w:rsid w:val="004361A2"/>
    <w:rsid w:val="00454CAE"/>
    <w:rsid w:val="0047362C"/>
    <w:rsid w:val="004B273C"/>
    <w:rsid w:val="004B3DE8"/>
    <w:rsid w:val="004D3309"/>
    <w:rsid w:val="00524EA7"/>
    <w:rsid w:val="00553ABC"/>
    <w:rsid w:val="005576F5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9F613C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5738C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3522D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A58B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AE2ED-A507-4701-AA99-6148A0BC4F0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FB8140-171D-421E-B3A2-3E5545305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656E-B11F-4FE8-B999-F29E7A26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gazi1116</cp:lastModifiedBy>
  <cp:revision>4</cp:revision>
  <dcterms:created xsi:type="dcterms:W3CDTF">2019-02-28T07:20:00Z</dcterms:created>
  <dcterms:modified xsi:type="dcterms:W3CDTF">2020-03-10T07:11:00Z</dcterms:modified>
</cp:coreProperties>
</file>